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ОБРАЗОВАНИЯ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</w:rPr>
        <w:t>КУВАЙСКИЙ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СЕЛЬСОВЕТ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РАЙОНА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>ОРЕНБУРГСКОЙ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ОБЛАСТИ</w:t>
      </w:r>
    </w:p>
    <w:p w:rsidR="00000000" w:rsidRDefault="005C63F1">
      <w:pPr>
        <w:widowControl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30"/>
          <w:szCs w:val="30"/>
        </w:rPr>
        <w:t>ПОСТАНОВЛЕНИЕ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25.06.2021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КУВАЙ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noProof/>
          <w:lang w:bidi="ar-SA"/>
        </w:rPr>
        <w:pict>
          <v:line id="Прямая соединительная линия 2" o:spid="_x0000_s1026" alt="" style="position:absolute;z-index:251658240;mso-position-horizontal-relative:char;mso-position-vertical-relative:text" from="-8.9pt,11.7pt" to="18pt,11.7pt" o:allowincell="f">
            <v:fill o:detectmouseclick="t"/>
            <v:shadow obscured="t"/>
            <w10:wrap anchorx="margin" anchory="margin"/>
          </v:line>
        </w:pict>
      </w:r>
      <w:r>
        <w:rPr>
          <w:noProof/>
          <w:lang w:bidi="ar-SA"/>
        </w:rPr>
        <w:pict>
          <v:line id="Прямая соединительная линия 5" o:spid="_x0000_s1027" alt="" style="position:absolute;z-index:251659264;mso-position-horizontal-relative:char;mso-position-vertical-relative:text" from="-8.9pt,11.7pt" to="-8.9pt,38.6pt" o:allowincell="f">
            <v:fill o:detectmouseclick="t"/>
            <v:shadow obscured="t"/>
            <w10:wrap anchorx="margin" anchory="margin"/>
          </v:line>
        </w:pict>
      </w:r>
      <w:r>
        <w:rPr>
          <w:noProof/>
          <w:lang w:bidi="ar-SA"/>
        </w:rPr>
        <w:pict>
          <v:line id="Прямая соединительная линия 3" o:spid="_x0000_s1028" alt="" style="position:absolute;z-index:251660288;mso-position-horizontal-relative:char;mso-position-vertical-relative:text" from="238.5pt,11.7pt" to="238.5pt,38.6pt" o:allowincell="f">
            <v:fill o:detectmouseclick="t"/>
            <v:shadow obscured="t"/>
            <w10:wrap anchorx="margin" anchory="margin"/>
          </v:line>
        </w:pict>
      </w:r>
      <w:r>
        <w:rPr>
          <w:noProof/>
          <w:lang w:bidi="ar-SA"/>
        </w:rPr>
        <w:pict>
          <v:line id="Прямая соединительная линия 4" o:spid="_x0000_s1029" alt="" style="position:absolute;flip:x;z-index:251661312;mso-position-horizontal-relative:char;mso-position-vertical-relative:text" from="211.45pt,11.7pt" to="238.35pt,11.7pt" o:allowincell="f">
            <v:fill o:detectmouseclick="t"/>
            <v:shadow obscured="t"/>
            <w10:wrap anchorx="margin" anchory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«Кувайский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2025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годы</w:t>
      </w: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C63F1">
      <w:pPr>
        <w:widowControl w:val="0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>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131-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статей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5, 11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29.12.2014 N 458-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тарифов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коммунального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комплекса»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31.03.2021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7/1-2021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«Кувайский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«Кувайский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2025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63F1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 </w:t>
      </w:r>
      <w:r>
        <w:rPr>
          <w:rFonts w:ascii="Times New Roman" w:hAnsi="Times New Roman" w:cs="Times New Roman"/>
          <w:sz w:val="28"/>
          <w:szCs w:val="28"/>
        </w:rPr>
        <w:t>–п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25.12.2020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«Кувайский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2025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://кувай.рф/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Леденев</w:t>
      </w: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Разослано</w:t>
      </w:r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администрации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Новосергиевского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района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орготделу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прокурору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Кувайски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25.06.2021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26-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коммунальной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инфраструктуры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«Кувайс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Оренбургской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2025 </w:t>
      </w:r>
      <w:r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6454"/>
      </w:tblGrid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«Кувайский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000000" w:rsidRDefault="005C63F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29.12.2004 N 190-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06.10.2003 N 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30.12.2004 N 210-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23.11.2009 N 261-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5C63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заказчики</w:t>
            </w:r>
          </w:p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0000" w:rsidRDefault="005C63F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льсовета</w:t>
            </w: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000000" w:rsidRDefault="005C63F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2021 - 2025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  <w:p w:rsidR="00000000" w:rsidRDefault="005C63F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C63F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воевременное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</w:p>
        </w:tc>
      </w:tr>
    </w:tbl>
    <w:p w:rsidR="00000000" w:rsidRDefault="005C63F1">
      <w:pPr>
        <w:widowControl w:val="0"/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омплексного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Кувайский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Оренбургской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2025 </w:t>
      </w:r>
      <w:r>
        <w:rPr>
          <w:rFonts w:ascii="Times New Roman" w:hAnsi="Times New Roman" w:cs="Times New Roman"/>
          <w:bCs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06.10.2003 N 131-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30.12.2004 N 210-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23.11.2009 N 261-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энергосбережении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Доступное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жилье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30.12.2004 N 210-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</w:t>
      </w:r>
      <w:r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ресурсосбережения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</w:t>
      </w:r>
      <w:r>
        <w:rPr>
          <w:rFonts w:ascii="Times New Roman" w:hAnsi="Times New Roman" w:cs="Times New Roman"/>
          <w:sz w:val="24"/>
          <w:szCs w:val="24"/>
        </w:rPr>
        <w:t>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наращивания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энергосбережение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00000" w:rsidRDefault="005C63F1">
      <w:pPr>
        <w:widowControl w:val="0"/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ind w:left="36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</w:rPr>
        <w:t>Ха</w:t>
      </w:r>
      <w:r>
        <w:rPr>
          <w:rFonts w:ascii="Times New Roman" w:hAnsi="Times New Roman" w:cs="Times New Roman"/>
          <w:b/>
          <w:bCs/>
          <w:sz w:val="24"/>
          <w:szCs w:val="24"/>
        </w:rPr>
        <w:t>рактеристика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существующего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состояния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инфраструктуры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относятся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тепло</w:t>
      </w:r>
      <w:r>
        <w:rPr>
          <w:rFonts w:ascii="Times New Roman" w:hAnsi="Times New Roman" w:cs="Times New Roman"/>
          <w:bCs/>
          <w:sz w:val="24"/>
          <w:szCs w:val="24"/>
        </w:rPr>
        <w:t xml:space="preserve">-, </w:t>
      </w:r>
      <w:r>
        <w:rPr>
          <w:rFonts w:ascii="Times New Roman" w:hAnsi="Times New Roman" w:cs="Times New Roman"/>
          <w:bCs/>
          <w:sz w:val="24"/>
          <w:szCs w:val="24"/>
        </w:rPr>
        <w:t>водоснабжения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используемые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утилизации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захоронения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твердых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бытовых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отходов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Основными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комплексного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коммунального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комплекса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подключения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эксплуатируемым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теплоснабжения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водоснабжения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повышение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надежности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эксплуатационной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существующих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повышение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улучшение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экологической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ситуации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достижение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энергосбережения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повышения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энергетической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эффективности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Важной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задачей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</w:t>
      </w:r>
      <w:r>
        <w:rPr>
          <w:rFonts w:ascii="Times New Roman" w:hAnsi="Times New Roman" w:cs="Times New Roman"/>
          <w:bCs/>
          <w:sz w:val="24"/>
          <w:szCs w:val="24"/>
        </w:rPr>
        <w:t>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баланса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стоимостью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Существующее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коммунальном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хозяйстве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физический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износ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мощность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пропускная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способность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сдерживают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поселений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Поэтому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инженерного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обеспечения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нуждается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постоянном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модернизации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горячее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электроводонагревателей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котельных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Протяжённость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теп</w:t>
      </w:r>
      <w:r>
        <w:rPr>
          <w:rFonts w:ascii="Times New Roman" w:hAnsi="Times New Roman" w:cs="Times New Roman"/>
          <w:sz w:val="24"/>
          <w:szCs w:val="24"/>
        </w:rPr>
        <w:t>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-265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- 440 </w:t>
      </w:r>
      <w:r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</w:t>
      </w: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скважин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сельсовету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скважин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водоразборных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совету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Централизованным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пользуются</w:t>
      </w:r>
      <w:r>
        <w:rPr>
          <w:rFonts w:ascii="Times New Roman" w:hAnsi="Times New Roman" w:cs="Times New Roman"/>
          <w:sz w:val="24"/>
          <w:szCs w:val="24"/>
        </w:rPr>
        <w:t xml:space="preserve">  859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</w:t>
      </w:r>
      <w:r>
        <w:rPr>
          <w:rFonts w:ascii="Times New Roman" w:hAnsi="Times New Roman" w:cs="Times New Roman"/>
          <w:sz w:val="24"/>
          <w:szCs w:val="24"/>
        </w:rPr>
        <w:t>вляет</w:t>
      </w:r>
      <w:r>
        <w:rPr>
          <w:rFonts w:ascii="Times New Roman" w:hAnsi="Times New Roman" w:cs="Times New Roman"/>
          <w:sz w:val="24"/>
          <w:szCs w:val="24"/>
        </w:rPr>
        <w:t xml:space="preserve"> 95 %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устарели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эксплуатируются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25-30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Капитальный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Мрясово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порывы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ухудшению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бактериальному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бактериологическому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сельскохозяйственные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95%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</w:t>
      </w:r>
      <w:r>
        <w:rPr>
          <w:rFonts w:ascii="Times New Roman" w:hAnsi="Times New Roman" w:cs="Times New Roman"/>
          <w:sz w:val="24"/>
          <w:szCs w:val="24"/>
        </w:rPr>
        <w:t>кое»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грунтовые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водозаборов</w:t>
      </w:r>
      <w:r>
        <w:rPr>
          <w:rFonts w:ascii="Times New Roman" w:hAnsi="Times New Roman" w:cs="Times New Roman"/>
          <w:sz w:val="24"/>
          <w:szCs w:val="24"/>
        </w:rPr>
        <w:t xml:space="preserve"> -21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>сут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- 70%.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  <w:bookmarkStart w:id="0" w:name="_Toc262067877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Структура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потребления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5A417C">
      <w:pPr>
        <w:rPr>
          <w:rFonts w:cstheme="minorBidi"/>
          <w:szCs w:val="24"/>
        </w:rPr>
      </w:pPr>
      <w:r>
        <w:rPr>
          <w:rFonts w:cstheme="minorBidi"/>
          <w:noProof/>
          <w:szCs w:val="24"/>
          <w:lang w:bidi="ar-SA"/>
        </w:rPr>
        <w:drawing>
          <wp:inline distT="0" distB="0" distL="0" distR="0">
            <wp:extent cx="54768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63F1">
      <w:pPr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суммарно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71,7%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водопотребления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сетях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28,9%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усредненные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водоснабжения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rPr>
          <w:rFonts w:cstheme="minorBidi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Водоотведение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3.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Прогнозные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Демографическое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«Кувайский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Новосергиевский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Оренбургской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5C63F1">
      <w:pPr>
        <w:spacing w:after="0"/>
        <w:jc w:val="both"/>
        <w:rPr>
          <w:rFonts w:cstheme="minorBidi"/>
          <w:szCs w:val="24"/>
        </w:rPr>
      </w:pPr>
    </w:p>
    <w:p w:rsidR="00000000" w:rsidRDefault="005C63F1">
      <w:p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демог</w:t>
      </w:r>
      <w:r>
        <w:rPr>
          <w:rFonts w:ascii="Times New Roman" w:hAnsi="Times New Roman" w:cs="Times New Roman"/>
          <w:sz w:val="24"/>
          <w:szCs w:val="24"/>
        </w:rPr>
        <w:t>рафическая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оценок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рождаемости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pStyle w:val="cef1edeee2edeee9f2e5eaf1f23"/>
        <w:ind w:firstLine="709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  2020 </w:t>
      </w:r>
      <w:r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859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98,64%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уровню</w:t>
      </w:r>
      <w:r>
        <w:rPr>
          <w:rFonts w:ascii="Times New Roman" w:hAnsi="Times New Roman" w:cs="Times New Roman"/>
          <w:sz w:val="24"/>
          <w:szCs w:val="24"/>
        </w:rPr>
        <w:t xml:space="preserve"> 2009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- 12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умерло</w:t>
      </w:r>
      <w:r>
        <w:rPr>
          <w:rFonts w:ascii="Times New Roman" w:hAnsi="Times New Roman" w:cs="Times New Roman"/>
          <w:sz w:val="24"/>
          <w:szCs w:val="24"/>
        </w:rPr>
        <w:t xml:space="preserve"> - 9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родилось</w:t>
      </w:r>
      <w:r>
        <w:rPr>
          <w:rFonts w:ascii="Times New Roman" w:hAnsi="Times New Roman" w:cs="Times New Roman"/>
          <w:sz w:val="24"/>
          <w:szCs w:val="24"/>
        </w:rPr>
        <w:t xml:space="preserve"> - 7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умерло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2009 </w:t>
      </w:r>
      <w:r>
        <w:rPr>
          <w:rFonts w:ascii="Times New Roman" w:hAnsi="Times New Roman" w:cs="Times New Roman"/>
          <w:sz w:val="24"/>
          <w:szCs w:val="24"/>
        </w:rPr>
        <w:t>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53%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2019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00000" w:rsidRDefault="005C63F1">
      <w:pPr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сократилас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уровню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-2020 </w:t>
      </w:r>
      <w:r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Доходы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населения</w:t>
      </w:r>
    </w:p>
    <w:p w:rsidR="00000000" w:rsidRDefault="005C63F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Default="005C63F1">
      <w:pPr>
        <w:widowControl w:val="0"/>
        <w:shd w:val="clear" w:color="auto" w:fill="FFFFFF"/>
        <w:spacing w:after="0"/>
        <w:ind w:firstLine="71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малообеспеченным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ind w:firstLine="71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удельный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доходах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баланса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денежных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занимают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статьи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оплата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наемных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(45,7%), </w:t>
      </w:r>
      <w:r>
        <w:rPr>
          <w:rFonts w:ascii="Times New Roman" w:hAnsi="Times New Roman" w:cs="Times New Roman"/>
          <w:bCs/>
          <w:sz w:val="24"/>
          <w:szCs w:val="24"/>
        </w:rPr>
        <w:t>пенсионные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</w:t>
      </w:r>
      <w:r>
        <w:rPr>
          <w:rFonts w:ascii="Times New Roman" w:hAnsi="Times New Roman" w:cs="Times New Roman"/>
          <w:bCs/>
          <w:sz w:val="24"/>
          <w:szCs w:val="24"/>
        </w:rPr>
        <w:t>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(21,1%).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баланса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2019 - 2021 </w:t>
      </w:r>
      <w:r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жилье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насыщенности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повседневного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C63F1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зданий</w:t>
      </w:r>
    </w:p>
    <w:p w:rsidR="00000000" w:rsidRDefault="005C63F1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Приоритетными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комплексная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малообеспеченных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градостр</w:t>
      </w:r>
      <w:r>
        <w:rPr>
          <w:rFonts w:ascii="Times New Roman" w:hAnsi="Times New Roman" w:cs="Times New Roman"/>
          <w:sz w:val="24"/>
          <w:szCs w:val="24"/>
        </w:rPr>
        <w:t>оительному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Кувайского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- 3,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81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:  -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53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2: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«Мрясовская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«Горненская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ООШ»</w:t>
      </w:r>
      <w:r>
        <w:rPr>
          <w:rFonts w:ascii="Times New Roman" w:hAnsi="Times New Roman" w:cs="Times New Roman"/>
          <w:sz w:val="24"/>
          <w:szCs w:val="24"/>
        </w:rPr>
        <w:t xml:space="preserve"> - 16 </w:t>
      </w:r>
      <w:r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C63F1">
      <w:pPr>
        <w:shd w:val="clear" w:color="auto" w:fill="FFFFFF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Существующие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тепло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-,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водоснабжении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водоотведении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5C63F1">
      <w:pPr>
        <w:shd w:val="clear" w:color="auto" w:fill="FFFFFF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>Теплоснабжение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неэффективных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неоптимально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устаревшим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</w:t>
      </w:r>
      <w:r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перевооружение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отапливающей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поколения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C63F1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Существующие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</w:t>
      </w:r>
      <w:r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Водопроводы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1970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насосные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Существующие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скважины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подруслового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сезонное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2.1.4.1074-01 "</w:t>
      </w:r>
      <w:r>
        <w:rPr>
          <w:rFonts w:ascii="Times New Roman" w:hAnsi="Times New Roman" w:cs="Times New Roman"/>
          <w:sz w:val="24"/>
          <w:szCs w:val="24"/>
        </w:rPr>
        <w:t>Питьевая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...",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скважин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вышеизложенного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скважин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эксплуатирующихся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35 - 45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дестабилизации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загрязнению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изношенности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Существующее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70 % </w:t>
      </w:r>
      <w:r>
        <w:rPr>
          <w:rFonts w:ascii="Times New Roman" w:hAnsi="Times New Roman" w:cs="Times New Roman"/>
          <w:sz w:val="24"/>
          <w:szCs w:val="24"/>
        </w:rPr>
        <w:t>износа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</w:t>
      </w:r>
      <w:r>
        <w:rPr>
          <w:rFonts w:ascii="Times New Roman" w:hAnsi="Times New Roman" w:cs="Times New Roman"/>
          <w:sz w:val="24"/>
          <w:szCs w:val="24"/>
        </w:rPr>
        <w:t>лковых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2.1.4.1074-01 "</w:t>
      </w:r>
      <w:r>
        <w:rPr>
          <w:rFonts w:ascii="Times New Roman" w:hAnsi="Times New Roman" w:cs="Times New Roman"/>
          <w:sz w:val="24"/>
          <w:szCs w:val="24"/>
        </w:rPr>
        <w:t>Питьевая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_".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питьевого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сложившейся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водоносных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горизонтов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оптимизация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поэтапного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ТП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энергосберегающих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>капитальный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модернизации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Кувайский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\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Новосергиевский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Оренбургской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2021 - 2025 </w:t>
      </w:r>
      <w:r>
        <w:rPr>
          <w:rFonts w:ascii="Times New Roman" w:hAnsi="Times New Roman" w:cs="Times New Roman"/>
          <w:b/>
          <w:bCs/>
          <w:sz w:val="24"/>
          <w:szCs w:val="24"/>
        </w:rPr>
        <w:t>гг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5C63F1">
      <w:pPr>
        <w:shd w:val="clear" w:color="auto" w:fill="FFFFFF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</w:t>
      </w:r>
      <w:r>
        <w:rPr>
          <w:rFonts w:ascii="Times New Roman" w:hAnsi="Times New Roman" w:cs="Times New Roman"/>
          <w:bCs/>
          <w:sz w:val="24"/>
          <w:szCs w:val="24"/>
        </w:rPr>
        <w:t>уществить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следующий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00000" w:rsidRDefault="005C63F1">
      <w:pPr>
        <w:shd w:val="clear" w:color="auto" w:fill="FFFFFF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«Водоснабжение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водоотведение»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Default="005C63F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4"/>
        <w:gridCol w:w="6865"/>
      </w:tblGrid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000000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pStyle w:val="a6"/>
              <w:widowControl w:val="0"/>
              <w:numPr>
                <w:ilvl w:val="0"/>
                <w:numId w:val="2"/>
              </w:numPr>
              <w:ind w:left="114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Кувай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Кувай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 xml:space="preserve">2400,0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рублей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</w:tr>
      <w:tr w:rsidR="00000000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Мрясово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Мрясово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1900,0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Горный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Горный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1900,0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</w:tr>
      <w:tr w:rsidR="0000000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00000" w:rsidRDefault="005C63F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газоснабжение»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248"/>
      </w:tblGrid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000000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перевооружение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Мрясово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Unigas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рампой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виброкомпенсатором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газоиспользу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Мрясово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теплоснабжением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потерь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протяжённостью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теплоснабжения</w:t>
            </w:r>
          </w:p>
        </w:tc>
      </w:tr>
    </w:tbl>
    <w:p w:rsidR="00000000" w:rsidRDefault="005C63F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C63F1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Совокупные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</w:t>
      </w:r>
      <w:r>
        <w:rPr>
          <w:rFonts w:ascii="Times New Roman" w:hAnsi="Times New Roman" w:cs="Times New Roman"/>
          <w:b/>
          <w:sz w:val="24"/>
          <w:szCs w:val="24"/>
        </w:rPr>
        <w:t>раммных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5C63F1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2021 - 2025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4"/>
          <w:szCs w:val="24"/>
        </w:rPr>
        <w:t>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6 500,0 </w:t>
      </w:r>
      <w:r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руб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widowControl w:val="0"/>
        <w:numPr>
          <w:ilvl w:val="0"/>
          <w:numId w:val="1"/>
        </w:num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2011-2016 </w:t>
      </w:r>
      <w:r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89-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27.02.2010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C63F1">
      <w:pPr>
        <w:widowControl w:val="0"/>
        <w:numPr>
          <w:ilvl w:val="0"/>
          <w:numId w:val="1"/>
        </w:num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2012-2015 </w:t>
      </w:r>
      <w:r>
        <w:rPr>
          <w:rFonts w:ascii="Times New Roman" w:hAnsi="Times New Roman" w:cs="Times New Roman"/>
          <w:sz w:val="24"/>
          <w:szCs w:val="24"/>
        </w:rPr>
        <w:t>годах»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338-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25.05.2012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C63F1">
      <w:pPr>
        <w:widowControl w:val="0"/>
        <w:numPr>
          <w:ilvl w:val="0"/>
          <w:numId w:val="1"/>
        </w:num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Новосергиевский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2012-2016 </w:t>
      </w:r>
      <w:r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1033-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12.12.2011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C63F1">
      <w:pPr>
        <w:widowControl w:val="0"/>
        <w:numPr>
          <w:ilvl w:val="0"/>
          <w:numId w:val="1"/>
        </w:num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«Федеральная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«Жилище»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2011-2015 </w:t>
      </w:r>
      <w:r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1050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17.12.2010)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стадиях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страиваемых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микрорайонов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 6.1. </w:t>
      </w:r>
      <w:r>
        <w:rPr>
          <w:rFonts w:ascii="Times New Roman" w:hAnsi="Times New Roman" w:cs="Times New Roman"/>
          <w:bCs/>
          <w:sz w:val="24"/>
          <w:szCs w:val="24"/>
        </w:rPr>
        <w:t>Объем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бюджетного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который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бюджетов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уровней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Default="005C63F1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3621"/>
        <w:gridCol w:w="1099"/>
        <w:gridCol w:w="1064"/>
        <w:gridCol w:w="1195"/>
        <w:gridCol w:w="935"/>
        <w:gridCol w:w="1057"/>
      </w:tblGrid>
      <w:tr w:rsidR="00000000">
        <w:trPr>
          <w:trHeight w:val="6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Cs w:val="24"/>
              </w:rPr>
              <w:t>п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объекта</w:t>
            </w:r>
          </w:p>
        </w:tc>
        <w:tc>
          <w:tcPr>
            <w:tcW w:w="5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финансирован</w:t>
            </w:r>
            <w:r>
              <w:rPr>
                <w:rFonts w:ascii="Times New Roman" w:hAnsi="Times New Roman" w:cs="Times New Roman"/>
                <w:bCs/>
                <w:szCs w:val="24"/>
              </w:rPr>
              <w:t>ие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4"/>
              </w:rPr>
              <w:t>тыс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Cs w:val="24"/>
              </w:rPr>
              <w:t>руб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000000">
        <w:trPr>
          <w:trHeight w:val="60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2021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2023-2025</w:t>
            </w:r>
          </w:p>
        </w:tc>
      </w:tr>
      <w:tr w:rsidR="00000000">
        <w:trPr>
          <w:trHeight w:val="6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перевооружение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Cs w:val="24"/>
              </w:rPr>
              <w:t>Мрясово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3100,0</w:t>
            </w:r>
          </w:p>
        </w:tc>
      </w:tr>
      <w:tr w:rsidR="00000000">
        <w:trPr>
          <w:trHeight w:val="6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Мрясово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1000,0</w:t>
            </w:r>
          </w:p>
        </w:tc>
      </w:tr>
      <w:tr w:rsidR="00000000">
        <w:trPr>
          <w:trHeight w:val="60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Мрясово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1900,0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</w:tr>
      <w:tr w:rsidR="00000000">
        <w:trPr>
          <w:trHeight w:val="60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Кувай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2400,0</w:t>
            </w:r>
          </w:p>
        </w:tc>
      </w:tr>
      <w:tr w:rsidR="00000000">
        <w:trPr>
          <w:trHeight w:val="60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Cs w:val="24"/>
              </w:rPr>
              <w:t>Горный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000000">
        <w:trPr>
          <w:trHeight w:val="609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spacing w:after="0"/>
              <w:ind w:left="144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скважины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Кувай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pStyle w:val="a6"/>
              <w:widowControl w:val="0"/>
              <w:shd w:val="clear" w:color="auto" w:fill="FFFFFF"/>
              <w:spacing w:after="0"/>
              <w:ind w:left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pStyle w:val="a6"/>
              <w:widowControl w:val="0"/>
              <w:shd w:val="clear" w:color="auto" w:fill="FFFFFF"/>
              <w:spacing w:after="0"/>
              <w:ind w:left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pStyle w:val="a6"/>
              <w:widowControl w:val="0"/>
              <w:shd w:val="clear" w:color="auto" w:fill="FFFFFF"/>
              <w:spacing w:after="0"/>
              <w:ind w:left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pStyle w:val="a6"/>
              <w:widowControl w:val="0"/>
              <w:shd w:val="clear" w:color="auto" w:fill="FFFFFF"/>
              <w:spacing w:after="0"/>
              <w:ind w:left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pStyle w:val="a6"/>
              <w:widowControl w:val="0"/>
              <w:shd w:val="clear" w:color="auto" w:fill="FFFFFF"/>
              <w:spacing w:after="0"/>
              <w:ind w:left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2000,0</w:t>
            </w:r>
          </w:p>
        </w:tc>
      </w:tr>
      <w:tr w:rsidR="00000000">
        <w:trPr>
          <w:trHeight w:val="609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F1">
            <w:pPr>
              <w:widowControl w:val="0"/>
              <w:shd w:val="clear" w:color="auto" w:fill="FFFFFF"/>
              <w:spacing w:after="0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годам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1900,0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5C63F1">
            <w:pPr>
              <w:widowControl w:val="0"/>
              <w:shd w:val="clear" w:color="auto" w:fill="FFFFFF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highlight w:val="yellow"/>
              </w:rPr>
              <w:t>8500,0</w:t>
            </w:r>
          </w:p>
        </w:tc>
      </w:tr>
    </w:tbl>
    <w:p w:rsidR="00000000" w:rsidRDefault="005C63F1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18"/>
          <w:szCs w:val="18"/>
          <w:lang/>
        </w:rPr>
      </w:pPr>
    </w:p>
    <w:p w:rsidR="00000000" w:rsidRDefault="005C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C63F1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риска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Комплексное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Кувайский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Оренбургской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инфляции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превышающий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инфляции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учитываемый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влияющие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Нехватка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разрывы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превышающие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</w:t>
      </w:r>
      <w:r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Несвоевременность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кризисом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2025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позволяющими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Частичное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shd w:val="clear" w:color="auto" w:fill="FFFFFF"/>
        <w:ind w:firstLine="778"/>
        <w:jc w:val="both"/>
        <w:rPr>
          <w:rFonts w:ascii="Times New Roman" w:hAnsi="Times New Roman" w:cs="Times New Roman"/>
          <w:sz w:val="18"/>
          <w:szCs w:val="18"/>
          <w:lang w:eastAsia="en-US" w:bidi="ar-SA"/>
        </w:rPr>
      </w:pPr>
    </w:p>
    <w:p w:rsidR="00000000" w:rsidRDefault="005C63F1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экономических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Кувайский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>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угрожающих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shd w:val="clear" w:color="auto" w:fill="FFFFFF"/>
        <w:ind w:firstLine="770"/>
        <w:jc w:val="both"/>
        <w:rPr>
          <w:rFonts w:cstheme="minorBidi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Оценка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эффективности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реализации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Пр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ограммы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осуществляется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на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основе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следующих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индикаторов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по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разделам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eastAsia="en-US" w:bidi="ar-SA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обстанов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водоочистки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00000" w:rsidRDefault="005C63F1">
      <w:pPr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выполнением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проектные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подрядные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статистического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Кувайский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скоординированной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3F1" w:rsidRDefault="005C63F1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C63F1">
      <w:type w:val="continuous"/>
      <w:pgSz w:w="11906" w:h="16838"/>
      <w:pgMar w:top="851" w:right="737" w:bottom="851" w:left="1588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F1" w:rsidRDefault="005C63F1">
      <w:pPr>
        <w:spacing w:after="0" w:line="240" w:lineRule="auto"/>
      </w:pPr>
      <w:r>
        <w:separator/>
      </w:r>
    </w:p>
  </w:endnote>
  <w:endnote w:type="continuationSeparator" w:id="1">
    <w:p w:rsidR="005C63F1" w:rsidRDefault="005C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F1" w:rsidRDefault="005C63F1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1">
    <w:p w:rsidR="005C63F1" w:rsidRDefault="005C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65C"/>
    <w:rsid w:val="005A417C"/>
    <w:rsid w:val="005C63F1"/>
    <w:rsid w:val="0080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cef1edeee2edeee9f2e5eaf1f2">
    <w:name w:val="Оceсf1нedоeeвe2нedоeeйe9 тf2еe5кeaсf1тf2_"/>
    <w:basedOn w:val="a0"/>
    <w:uiPriority w:val="99"/>
    <w:rPr>
      <w:sz w:val="19"/>
      <w:szCs w:val="19"/>
      <w:shd w:val="clear" w:color="auto" w:fill="FFFFFF"/>
    </w:rPr>
  </w:style>
  <w:style w:type="character" w:styleId="a3">
    <w:name w:val="Strong"/>
    <w:basedOn w:val="a0"/>
    <w:uiPriority w:val="99"/>
    <w:qFormat/>
    <w:rPr>
      <w:b/>
      <w:bCs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Pr>
      <w:color w:val="800000"/>
      <w:u w:val="single"/>
      <w:lang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0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styleId="a4">
    <w:name w:val="Balloon Text"/>
    <w:basedOn w:val="a"/>
    <w:link w:val="a5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customStyle="1" w:styleId="cef1edeee2edeee9f2e5eaf1f23">
    <w:name w:val="Оceсf1нedоeeвe2нedоeeйe9 тf2еe5кeaсf1тf23"/>
    <w:basedOn w:val="a"/>
    <w:uiPriority w:val="99"/>
    <w:pPr>
      <w:shd w:val="clear" w:color="auto" w:fill="FFFFFF"/>
      <w:spacing w:after="0" w:line="230" w:lineRule="exact"/>
      <w:jc w:val="both"/>
    </w:pPr>
    <w:rPr>
      <w:sz w:val="19"/>
      <w:szCs w:val="19"/>
      <w:lang w:bidi="ar-SA"/>
    </w:rPr>
  </w:style>
  <w:style w:type="paragraph" w:styleId="a6">
    <w:name w:val="List Paragraph"/>
    <w:basedOn w:val="a"/>
    <w:uiPriority w:val="99"/>
    <w:qFormat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&#1082;&#1091;&#1074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78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4036</Words>
  <Characters>23009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RUS</cp:lastModifiedBy>
  <cp:revision>2</cp:revision>
  <dcterms:created xsi:type="dcterms:W3CDTF">2021-06-26T04:32:00Z</dcterms:created>
  <dcterms:modified xsi:type="dcterms:W3CDTF">2021-06-26T04:32:00Z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