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B" w:rsidRDefault="0033445B" w:rsidP="0033445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                                   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33445B" w:rsidRDefault="00D34CC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33445B">
        <w:rPr>
          <w:b/>
          <w:sz w:val="28"/>
          <w:szCs w:val="28"/>
        </w:rPr>
        <w:t xml:space="preserve"> СЕЛЬСОВЕТ</w:t>
      </w: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</w:p>
    <w:p w:rsidR="0033445B" w:rsidRDefault="003B7AE5" w:rsidP="0033445B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14.12.2018г   № 38/6</w:t>
      </w:r>
      <w:r w:rsidR="0033445B">
        <w:rPr>
          <w:sz w:val="28"/>
          <w:szCs w:val="28"/>
        </w:rPr>
        <w:t xml:space="preserve"> </w:t>
      </w:r>
      <w:proofErr w:type="spellStart"/>
      <w:r w:rsidR="0033445B">
        <w:rPr>
          <w:sz w:val="28"/>
          <w:szCs w:val="28"/>
        </w:rPr>
        <w:t>р.С</w:t>
      </w:r>
      <w:proofErr w:type="spellEnd"/>
      <w:r w:rsidR="0033445B">
        <w:rPr>
          <w:sz w:val="28"/>
          <w:szCs w:val="28"/>
        </w:rPr>
        <w:t>.</w:t>
      </w:r>
    </w:p>
    <w:p w:rsidR="0033445B" w:rsidRDefault="0033445B" w:rsidP="0033445B">
      <w:pPr>
        <w:ind w:right="3775"/>
        <w:jc w:val="center"/>
        <w:outlineLvl w:val="0"/>
        <w:rPr>
          <w:sz w:val="28"/>
          <w:szCs w:val="28"/>
        </w:rPr>
      </w:pPr>
    </w:p>
    <w:p w:rsidR="0033445B" w:rsidRDefault="0033445B" w:rsidP="0033445B">
      <w:pPr>
        <w:ind w:right="2160"/>
        <w:jc w:val="both"/>
      </w:pPr>
      <w:r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D34CC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33445B" w:rsidRDefault="0033445B" w:rsidP="0033445B"/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внесении изменений в Закон «О градостроительной деятельности на территории Оренбургской области, руководствуясь Уставом муниципального образования </w:t>
      </w:r>
      <w:r w:rsidR="00D34CC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сельсовет: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r w:rsidR="00D34CC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согласно приложению.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 момента вступления в силу данного решения считать утратившим силу </w:t>
      </w:r>
      <w:r>
        <w:rPr>
          <w:sz w:val="28"/>
          <w:szCs w:val="28"/>
        </w:rPr>
        <w:t xml:space="preserve">решение Совета  депутатов </w:t>
      </w:r>
      <w:proofErr w:type="spellStart"/>
      <w:r w:rsidR="00D34CCB">
        <w:rPr>
          <w:sz w:val="28"/>
          <w:szCs w:val="28"/>
        </w:rPr>
        <w:t>Кувайского</w:t>
      </w:r>
      <w:proofErr w:type="spellEnd"/>
      <w:r w:rsidR="00D34CCB">
        <w:rPr>
          <w:sz w:val="28"/>
          <w:szCs w:val="28"/>
        </w:rPr>
        <w:t xml:space="preserve"> сельсовета от 14.11.2018 г. № 37/2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Правил благоустройства территории муниципального образования </w:t>
      </w:r>
      <w:r w:rsidR="00D34CC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области».</w:t>
      </w:r>
    </w:p>
    <w:p w:rsidR="0033445B" w:rsidRDefault="0033445B" w:rsidP="003344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после его официального опубликования на официальном сайте администрации </w:t>
      </w:r>
      <w:proofErr w:type="spellStart"/>
      <w:r w:rsidR="00D34CCB"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34CC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33445B" w:rsidRDefault="00D34CCB" w:rsidP="0033445B">
      <w:pPr>
        <w:pStyle w:val="ConsTitle"/>
        <w:widowControl/>
        <w:ind w:right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33445B">
        <w:rPr>
          <w:sz w:val="28"/>
          <w:szCs w:val="28"/>
        </w:rPr>
        <w:tab/>
      </w: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3445B" w:rsidRDefault="00D34CC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D34C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14.12.2018 г. № 38/6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45B" w:rsidRDefault="0033445B" w:rsidP="0033445B"/>
    <w:p w:rsidR="0033445B" w:rsidRDefault="0033445B" w:rsidP="0033445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муниципального образования </w:t>
      </w:r>
      <w:r w:rsidR="00D34CCB">
        <w:rPr>
          <w:b/>
          <w:sz w:val="28"/>
          <w:szCs w:val="28"/>
        </w:rPr>
        <w:t xml:space="preserve">Кувайский </w:t>
      </w:r>
      <w:r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33445B" w:rsidRDefault="0033445B" w:rsidP="0033445B">
      <w:pPr>
        <w:jc w:val="center"/>
        <w:rPr>
          <w:color w:val="FF0000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</w:t>
      </w:r>
      <w:proofErr w:type="spellStart"/>
      <w:r w:rsidR="00D34CCB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сельского поселения (далее по тексту - Правила) устанавливают осно</w:t>
      </w:r>
      <w:r w:rsidR="00D34CCB">
        <w:rPr>
          <w:sz w:val="28"/>
          <w:szCs w:val="28"/>
        </w:rPr>
        <w:t xml:space="preserve">вные требования по содержанию </w:t>
      </w:r>
      <w:r>
        <w:rPr>
          <w:sz w:val="28"/>
          <w:szCs w:val="28"/>
        </w:rPr>
        <w:t xml:space="preserve">объектов благоустройства муниципального образования и содержанию домашних животных.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направлены на повышение уровня благоустройства и содержания территории муниципального образования </w:t>
      </w:r>
      <w:r w:rsidR="00D34CCB">
        <w:rPr>
          <w:sz w:val="28"/>
          <w:szCs w:val="28"/>
        </w:rPr>
        <w:t>«Кувайский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области» (далее – </w:t>
      </w:r>
      <w:r w:rsidR="00D34CC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сельсовет) и создание благоприятной для жизни и здоровья людей среды обитания.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Настоящие Правила устанавливают порядок и требования по содержанию и уборке территорий </w:t>
      </w:r>
      <w:proofErr w:type="spellStart"/>
      <w:r w:rsidR="00D34CCB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</w:t>
      </w:r>
      <w:proofErr w:type="spellStart"/>
      <w:r w:rsidR="00D34CCB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 осуществляется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</w:t>
      </w:r>
      <w:proofErr w:type="gramEnd"/>
      <w:r>
        <w:rPr>
          <w:sz w:val="28"/>
          <w:szCs w:val="28"/>
        </w:rPr>
        <w:t xml:space="preserve"> Министерства регионального развития РФ от 27.12.2011 № 613, иными областными законами и нормативными правовыми актами Оренбургской области,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</w:t>
      </w:r>
      <w:r w:rsidR="00D34CC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области, иными муниципальными правовыми актами </w:t>
      </w:r>
      <w:proofErr w:type="spellStart"/>
      <w:r w:rsidR="00D34CCB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и настоящими Правилами.</w:t>
      </w:r>
    </w:p>
    <w:p w:rsidR="00D34CCB" w:rsidRDefault="00D34CCB" w:rsidP="0033445B">
      <w:pPr>
        <w:jc w:val="center"/>
        <w:rPr>
          <w:b/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понятия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- совокупность работ и мероприятий, осуществляемых для создания здоровых, удобных и культурных условий жизни населения в границах </w:t>
      </w:r>
      <w:proofErr w:type="spellStart"/>
      <w:r w:rsidR="00D34CCB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внутриквартальные дороги</w:t>
      </w:r>
      <w:r>
        <w:rPr>
          <w:sz w:val="28"/>
          <w:szCs w:val="28"/>
        </w:rPr>
        <w:t xml:space="preserve">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владелец объекта благоустройства</w:t>
      </w:r>
      <w:r>
        <w:rPr>
          <w:sz w:val="28"/>
          <w:szCs w:val="28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выжигание сухой растительности</w:t>
      </w:r>
      <w:r>
        <w:rPr>
          <w:sz w:val="28"/>
          <w:szCs w:val="28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крупногабаритные отходы</w:t>
      </w:r>
      <w:r>
        <w:rPr>
          <w:sz w:val="28"/>
          <w:szCs w:val="28"/>
        </w:rPr>
        <w:t xml:space="preserve"> - старая мебель, велосипеды, остатки от текущего ремонта квартир и т.п.;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малые архитектурные формы</w:t>
      </w:r>
      <w:r>
        <w:rPr>
          <w:sz w:val="28"/>
          <w:szCs w:val="28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нестационарный объект торговли, нестационарный объект сферы услуг</w:t>
      </w:r>
      <w:r>
        <w:rPr>
          <w:sz w:val="28"/>
          <w:szCs w:val="28"/>
        </w:rPr>
        <w:t xml:space="preserve">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34CCB">
        <w:rPr>
          <w:b/>
          <w:sz w:val="28"/>
          <w:szCs w:val="28"/>
        </w:rPr>
        <w:t>организация работ по благоустройству, содержанию и уборке</w:t>
      </w:r>
      <w:r>
        <w:rPr>
          <w:sz w:val="28"/>
          <w:szCs w:val="28"/>
        </w:rPr>
        <w:t xml:space="preserve">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CB">
        <w:rPr>
          <w:b/>
          <w:sz w:val="28"/>
          <w:szCs w:val="28"/>
        </w:rPr>
        <w:t>объект озеленения</w:t>
      </w:r>
      <w:r>
        <w:rPr>
          <w:sz w:val="28"/>
          <w:szCs w:val="28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74233">
        <w:rPr>
          <w:b/>
          <w:sz w:val="28"/>
          <w:szCs w:val="28"/>
        </w:rPr>
        <w:t>объекты благоустройства</w:t>
      </w:r>
      <w:r>
        <w:rPr>
          <w:sz w:val="28"/>
          <w:szCs w:val="28"/>
        </w:rPr>
        <w:t xml:space="preserve">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233">
        <w:rPr>
          <w:b/>
          <w:sz w:val="28"/>
          <w:szCs w:val="28"/>
        </w:rPr>
        <w:t>содержание объекта благоустройства</w:t>
      </w:r>
      <w:r>
        <w:rPr>
          <w:sz w:val="28"/>
          <w:szCs w:val="28"/>
        </w:rPr>
        <w:t xml:space="preserve">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233">
        <w:rPr>
          <w:b/>
          <w:sz w:val="28"/>
          <w:szCs w:val="28"/>
        </w:rPr>
        <w:t>твердые бытовые отходы и жидкие бытовые отходы</w:t>
      </w:r>
      <w:r>
        <w:rPr>
          <w:sz w:val="28"/>
          <w:szCs w:val="28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74233">
        <w:rPr>
          <w:b/>
          <w:sz w:val="28"/>
          <w:szCs w:val="28"/>
        </w:rPr>
        <w:t>уборка объекта благоустройства</w:t>
      </w:r>
      <w:r>
        <w:rPr>
          <w:sz w:val="28"/>
          <w:szCs w:val="28"/>
        </w:rPr>
        <w:t xml:space="preserve">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74233">
        <w:rPr>
          <w:b/>
          <w:sz w:val="28"/>
          <w:szCs w:val="28"/>
        </w:rPr>
        <w:t>придомовая территория</w:t>
      </w:r>
      <w:r>
        <w:rPr>
          <w:sz w:val="28"/>
          <w:szCs w:val="28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233"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 местного самоуправления.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Границы прилегающей территории определяются правилами благоустройства территории сельского поселения (далее - правила благоустройства)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</w:t>
      </w:r>
      <w:proofErr w:type="gramEnd"/>
      <w:r>
        <w:rPr>
          <w:sz w:val="28"/>
          <w:szCs w:val="28"/>
        </w:rPr>
        <w:t xml:space="preserve"> общей границы, максимальной и минимальной площади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 и минимальная площадь прилегающей территории устанавливается правилами благоустройства.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 прилегающей территории определяются в соответствии со следующими требованиями: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парки, скверы, бульвары, набережные, береговые полосы водных объектов общего пользования, а также иные территории, содержание </w:t>
      </w:r>
      <w:r>
        <w:rPr>
          <w:sz w:val="28"/>
          <w:szCs w:val="28"/>
        </w:rPr>
        <w:lastRenderedPageBreak/>
        <w:t>которых является обязанностью правообладателя в соответствии с законодательством Российской Федерации;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пересечение границ прилегающих территорий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t xml:space="preserve"> </w:t>
      </w:r>
      <w:r>
        <w:rPr>
          <w:sz w:val="28"/>
          <w:szCs w:val="28"/>
        </w:rPr>
        <w:t>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здания, строения, сооружения, земельные участки.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3.3.4.</w:t>
      </w:r>
      <w:r>
        <w:t xml:space="preserve"> </w:t>
      </w:r>
      <w:proofErr w:type="gramStart"/>
      <w:r>
        <w:rPr>
          <w:sz w:val="28"/>
          <w:szCs w:val="28"/>
        </w:rPr>
        <w:t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благоустройства, не позднее одного месяца со дня ее</w:t>
      </w:r>
      <w:proofErr w:type="gramEnd"/>
      <w:r>
        <w:rPr>
          <w:sz w:val="28"/>
          <w:szCs w:val="28"/>
        </w:rPr>
        <w:t xml:space="preserve"> утверждения (изменения)".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3.3.5.При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гаражи, хозяйственные постройки в зоне жилой застройки населенных пунктов: на площади в радиусе до 15м;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линии электропередач 220В: вокруг опор в радиусе 2м;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уборка вокруг остановочных павильонов пассажирского транспорта в радиусе 10 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закреплены;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</w:t>
      </w:r>
      <w:proofErr w:type="spellStart"/>
      <w:r w:rsidR="007E57C9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proofErr w:type="spellStart"/>
      <w:r w:rsidR="007E57C9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8.1.1. В населенных пунктах (улиц, переулков) – на администрацию </w:t>
      </w:r>
      <w:proofErr w:type="spellStart"/>
      <w:r w:rsidR="007E57C9">
        <w:rPr>
          <w:sz w:val="28"/>
          <w:szCs w:val="28"/>
        </w:rPr>
        <w:t>Кувайского</w:t>
      </w:r>
      <w:proofErr w:type="spellEnd"/>
      <w:r w:rsidR="007E57C9">
        <w:rPr>
          <w:sz w:val="28"/>
          <w:szCs w:val="28"/>
        </w:rPr>
        <w:t xml:space="preserve"> сельсовета.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Уборка территорий населенных пунктов </w:t>
      </w:r>
      <w:proofErr w:type="spellStart"/>
      <w:r w:rsidR="007E57C9">
        <w:rPr>
          <w:b/>
          <w:sz w:val="28"/>
          <w:szCs w:val="28"/>
        </w:rPr>
        <w:t>Кувайского</w:t>
      </w:r>
      <w:proofErr w:type="spellEnd"/>
      <w:r w:rsidR="007E5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    по сезонам года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</w:t>
      </w:r>
      <w:proofErr w:type="spellStart"/>
      <w:r w:rsidR="007E57C9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  запрещается выжигание сухой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</w:t>
      </w:r>
      <w:r w:rsidR="007E57C9">
        <w:rPr>
          <w:sz w:val="28"/>
          <w:szCs w:val="28"/>
        </w:rPr>
        <w:t>вания экологических, санитарно-</w:t>
      </w:r>
      <w:r>
        <w:rPr>
          <w:sz w:val="28"/>
          <w:szCs w:val="28"/>
        </w:rPr>
        <w:t>гигиенических, противопожарных правил и нормативов.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Выдача разрешений на установку точек выносной и мелкорозничной торговли производится главой </w:t>
      </w:r>
      <w:proofErr w:type="spellStart"/>
      <w:r w:rsidR="007E57C9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 xml:space="preserve">ответствии </w:t>
      </w:r>
      <w:r>
        <w:rPr>
          <w:sz w:val="28"/>
          <w:szCs w:val="28"/>
        </w:rPr>
        <w:lastRenderedPageBreak/>
        <w:t>с утвержденным перечнем мест, на которых разрешено осуществлять торговлю, оказывать услуги в нестационарной сети.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До начала земляных работ строительной организации следует вызвать на место представителей эксплуатационных служб, которые обязаны </w:t>
      </w:r>
      <w:r>
        <w:rPr>
          <w:sz w:val="28"/>
          <w:szCs w:val="28"/>
        </w:rPr>
        <w:lastRenderedPageBreak/>
        <w:t>уточнить на месте положение своих коммуникаций и зафиксировать в письменной форме особые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17.Установка указателей с наименованиями улиц и номерами домов</w:t>
      </w: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17.1. На территории сельского поселения осуществляется установка следующих информационных указателей: </w:t>
      </w:r>
    </w:p>
    <w:p w:rsidR="0033445B" w:rsidRDefault="0033445B" w:rsidP="0033445B">
      <w:pPr>
        <w:numPr>
          <w:ilvl w:val="0"/>
          <w:numId w:val="1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наименованиями улиц;</w:t>
      </w:r>
    </w:p>
    <w:p w:rsidR="0033445B" w:rsidRDefault="0033445B" w:rsidP="0033445B">
      <w:pPr>
        <w:numPr>
          <w:ilvl w:val="0"/>
          <w:numId w:val="2"/>
        </w:numPr>
        <w:tabs>
          <w:tab w:val="left" w:pos="9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совмещенные указатели с наименованиями улиц и номерами объектов адресации (далее - совмещенные указатели); </w:t>
      </w:r>
    </w:p>
    <w:p w:rsidR="0033445B" w:rsidRDefault="0033445B" w:rsidP="0033445B">
      <w:pPr>
        <w:numPr>
          <w:ilvl w:val="0"/>
          <w:numId w:val="2"/>
        </w:numPr>
        <w:tabs>
          <w:tab w:val="left" w:pos="10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номерами объектов адресации (далее - указатели с номерами домов);</w:t>
      </w:r>
    </w:p>
    <w:p w:rsidR="0033445B" w:rsidRDefault="0033445B" w:rsidP="0033445B">
      <w:pPr>
        <w:numPr>
          <w:ilvl w:val="0"/>
          <w:numId w:val="2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информацией о расположении объектов.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17.3.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17.5.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На одноэтажных индивидуальных жилых домах допускается установка указателей на высоте не менее 2,0 м от уровня земли.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17.7.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Контроль и ответственность за нарушение Правил бла</w:t>
      </w:r>
      <w:r>
        <w:rPr>
          <w:b/>
          <w:sz w:val="28"/>
          <w:szCs w:val="28"/>
        </w:rPr>
        <w:softHyphen/>
        <w:t xml:space="preserve">гоустройства, уборки и санитарного содержания территории </w:t>
      </w:r>
      <w:proofErr w:type="spellStart"/>
      <w:r w:rsidR="007E57C9">
        <w:rPr>
          <w:b/>
          <w:sz w:val="28"/>
          <w:szCs w:val="28"/>
        </w:rPr>
        <w:t>Кувайского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 xml:space="preserve">нистрации района и администрации </w:t>
      </w:r>
      <w:proofErr w:type="spellStart"/>
      <w:r w:rsidR="007E57C9">
        <w:rPr>
          <w:sz w:val="28"/>
          <w:szCs w:val="28"/>
        </w:rPr>
        <w:t>Кувайского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18.1.2. Органы внутренних дел;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18.1.3. Органы санитарно-эпидемиологического надзора;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18.1.4. Отдел архитектуры, градостроительства администрации Новосергиевского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18.2. За нарушение настоящих Правил юридические и физиче</w:t>
      </w:r>
      <w:r>
        <w:rPr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1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3445B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B7AE5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233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7C9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3A8B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4CCB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cp:lastPrinted>2018-12-18T06:04:00Z</cp:lastPrinted>
  <dcterms:created xsi:type="dcterms:W3CDTF">2018-12-17T12:19:00Z</dcterms:created>
  <dcterms:modified xsi:type="dcterms:W3CDTF">2018-12-18T06:06:00Z</dcterms:modified>
</cp:coreProperties>
</file>