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4" w:rsidRPr="00985A09" w:rsidRDefault="00061534" w:rsidP="00985A09">
      <w:pPr>
        <w:spacing w:before="100" w:beforeAutospacing="1" w:after="100" w:afterAutospacing="1" w:line="240" w:lineRule="auto"/>
        <w:rPr>
          <w:rFonts w:ascii="Tahoma" w:hAnsi="Tahoma" w:cs="Tahoma"/>
          <w:color w:val="244066"/>
          <w:sz w:val="20"/>
          <w:szCs w:val="20"/>
          <w:lang w:eastAsia="ru-RU"/>
        </w:rPr>
      </w:pP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560"/>
      </w:tblGrid>
      <w:tr w:rsidR="00061534" w:rsidRPr="00471CD2">
        <w:trPr>
          <w:trHeight w:val="2277"/>
        </w:trPr>
        <w:tc>
          <w:tcPr>
            <w:tcW w:w="5740" w:type="dxa"/>
          </w:tcPr>
          <w:p w:rsidR="00061534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z-index:25165926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z-index:25166028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z-index:25166131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z-index:25166233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ГЛАВА АДМИНИСТРАЦИИ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МУНИЦИПАЛЬНОГООБРАЗОВАНИЯ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КУВАЙСКИЙ</w: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1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471C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ПОСТАНОВЛЕНИЕ </w:t>
            </w:r>
          </w:p>
        </w:tc>
      </w:tr>
      <w:tr w:rsidR="00061534" w:rsidRPr="00471CD2">
        <w:trPr>
          <w:trHeight w:val="991"/>
        </w:trPr>
        <w:tc>
          <w:tcPr>
            <w:tcW w:w="5740" w:type="dxa"/>
          </w:tcPr>
          <w:p w:rsidR="00061534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18.08.2016  №  69 </w:t>
            </w: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061534" w:rsidRPr="00471CD2" w:rsidRDefault="00061534" w:rsidP="005201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с. Кувай</w:t>
            </w:r>
          </w:p>
        </w:tc>
      </w:tr>
      <w:tr w:rsidR="00061534" w:rsidRPr="00471CD2">
        <w:trPr>
          <w:trHeight w:val="283"/>
        </w:trPr>
        <w:tc>
          <w:tcPr>
            <w:tcW w:w="5740" w:type="dxa"/>
          </w:tcPr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Кувайского</w:t>
            </w:r>
            <w:r w:rsidRPr="00471C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061534" w:rsidRPr="00471CD2" w:rsidRDefault="00061534">
            <w:pPr>
              <w:pStyle w:val="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</w:t>
      </w:r>
      <w:r>
        <w:rPr>
          <w:rFonts w:ascii="Times New Roman" w:hAnsi="Times New Roman" w:cs="Times New Roman"/>
          <w:sz w:val="28"/>
          <w:szCs w:val="28"/>
        </w:rPr>
        <w:t xml:space="preserve">ртной системы, в соответствии  с </w:t>
      </w:r>
      <w:r w:rsidRPr="00B40077">
        <w:rPr>
          <w:rFonts w:ascii="Times New Roman" w:hAnsi="Times New Roman" w:cs="Times New Roman"/>
          <w:sz w:val="28"/>
          <w:szCs w:val="28"/>
        </w:rPr>
        <w:t>Федеральным законом №131-ФЗ от 06.10.2003г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25.12 2015г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а так же  У</w:t>
      </w:r>
      <w:r w:rsidRPr="00B4007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</w:t>
      </w:r>
      <w:r w:rsidRPr="00B40077">
        <w:rPr>
          <w:rFonts w:ascii="Times New Roman" w:hAnsi="Times New Roman" w:cs="Times New Roman"/>
          <w:sz w:val="28"/>
          <w:szCs w:val="28"/>
        </w:rPr>
        <w:t>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077">
        <w:rPr>
          <w:rFonts w:ascii="Times New Roman" w:hAnsi="Times New Roman" w:cs="Times New Roman"/>
          <w:sz w:val="28"/>
          <w:szCs w:val="28"/>
        </w:rPr>
        <w:t xml:space="preserve">Утвердить  муниципальную программу «Развитие транспортной системы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 Контроль за исполнением оставляю за собой.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разместить на официальном сайте администрации муниципального образования и информационных стендах.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Кувайский сельсовет                                                                      В.Н. Евстратьев</w:t>
      </w:r>
      <w:r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Утверждена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Кувайского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69 п </w:t>
      </w:r>
      <w:r w:rsidRPr="00B40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 от 18.08</w:t>
      </w:r>
      <w:r w:rsidRPr="00B40077">
        <w:rPr>
          <w:rFonts w:ascii="Times New Roman" w:hAnsi="Times New Roman" w:cs="Times New Roman"/>
          <w:sz w:val="28"/>
          <w:szCs w:val="28"/>
        </w:rPr>
        <w:t>.2016г.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520134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61534" w:rsidRDefault="00061534" w:rsidP="00520134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транспортной системы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 района</w:t>
      </w:r>
    </w:p>
    <w:p w:rsidR="00061534" w:rsidRPr="00B40077" w:rsidRDefault="00061534" w:rsidP="00520134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на 2016-2018 годы»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Обеспечение безопасных условий движения на дорогах и улично-дорожной сети 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1.Развитие сети автодорог в поселении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по  повышения безопасности дорожного движения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2016-2018 год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  тыс. руб.,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 .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ремонт и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нструкция существующей улично-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 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Ремонт и строительство пешеходных дорожек и мест для парковки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(на переспективу)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Протяженность муниципальных  дорог 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Кувайский сельсовет составляет 11,3 </w:t>
      </w:r>
      <w:r w:rsidRPr="00B40077">
        <w:rPr>
          <w:rFonts w:ascii="Times New Roman" w:hAnsi="Times New Roman" w:cs="Times New Roman"/>
          <w:sz w:val="28"/>
          <w:szCs w:val="28"/>
        </w:rPr>
        <w:t>км.  Дороги, 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с гравийным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покрытием. Техническое состояние муниципальных автомобильных  дорог  можно расценивать как 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</w:t>
      </w:r>
      <w:r>
        <w:rPr>
          <w:rFonts w:ascii="Times New Roman" w:hAnsi="Times New Roman" w:cs="Times New Roman"/>
          <w:sz w:val="28"/>
          <w:szCs w:val="28"/>
        </w:rPr>
        <w:t>ртно-</w:t>
      </w:r>
      <w:r w:rsidRPr="00B40077">
        <w:rPr>
          <w:rFonts w:ascii="Times New Roman" w:hAnsi="Times New Roman" w:cs="Times New Roman"/>
          <w:sz w:val="28"/>
          <w:szCs w:val="28"/>
        </w:rPr>
        <w:t>эксплуатационного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Внешний транспорт на территор</w:t>
      </w:r>
      <w:r>
        <w:rPr>
          <w:rFonts w:ascii="Times New Roman" w:hAnsi="Times New Roman" w:cs="Times New Roman"/>
          <w:sz w:val="28"/>
          <w:szCs w:val="28"/>
        </w:rPr>
        <w:t>ии поселения представлен одним видом</w:t>
      </w:r>
      <w:r w:rsidRPr="00B400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автомобильный</w:t>
      </w:r>
      <w:r w:rsidRPr="00B40077">
        <w:rPr>
          <w:rFonts w:ascii="Times New Roman" w:hAnsi="Times New Roman" w:cs="Times New Roman"/>
          <w:sz w:val="28"/>
          <w:szCs w:val="28"/>
        </w:rPr>
        <w:t>.Районный центр нахо</w:t>
      </w:r>
      <w:r>
        <w:rPr>
          <w:rFonts w:ascii="Times New Roman" w:hAnsi="Times New Roman" w:cs="Times New Roman"/>
          <w:sz w:val="28"/>
          <w:szCs w:val="28"/>
        </w:rPr>
        <w:t>дится в 25</w:t>
      </w:r>
      <w:r w:rsidRPr="00B40077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., а областной в 14</w:t>
      </w:r>
      <w:r w:rsidRPr="00B40077">
        <w:rPr>
          <w:rFonts w:ascii="Times New Roman" w:hAnsi="Times New Roman" w:cs="Times New Roman"/>
          <w:sz w:val="28"/>
          <w:szCs w:val="28"/>
        </w:rPr>
        <w:t>0 км от поселения. А</w:t>
      </w:r>
      <w:r>
        <w:rPr>
          <w:rFonts w:ascii="Times New Roman" w:hAnsi="Times New Roman" w:cs="Times New Roman"/>
          <w:sz w:val="28"/>
          <w:szCs w:val="28"/>
        </w:rPr>
        <w:t>втобусное сообщение отсутствует, перевозкой людей до районного центра занимается ИП.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Хранение автотранспорта на территории поселения осуществляется в пределах участков предприятий и на придомовых участках </w:t>
      </w:r>
      <w:r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Pr="00B40077">
        <w:rPr>
          <w:rFonts w:ascii="Times New Roman" w:hAnsi="Times New Roman" w:cs="Times New Roman"/>
          <w:sz w:val="28"/>
          <w:szCs w:val="28"/>
        </w:rPr>
        <w:t>сельсовет при разработке Программы основывалась на:</w:t>
      </w:r>
    </w:p>
    <w:p w:rsidR="00061534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№131-Ф3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РФ»;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Устав  муниципального образования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ктуры поселения, города, округа</w:t>
      </w:r>
      <w:r w:rsidRPr="00B400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2.  Основные цели и задачи Программы, целевые показатели (индикаторы) реализации Программы.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Достижение данной цели обеспечивается путем решения задач по развитию и содержанию автомобильных дорог общего пользования.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 ,реконструкцией объектов, а так же со строительством новых объектов.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061534" w:rsidRPr="00471CD2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4 .  Механизм реализации  программы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Программы и контроль осуществляет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Pr="00B40077">
        <w:rPr>
          <w:rFonts w:ascii="Times New Roman" w:hAnsi="Times New Roman" w:cs="Times New Roman"/>
          <w:sz w:val="28"/>
          <w:szCs w:val="28"/>
        </w:rPr>
        <w:t>сельсовет Новосергиевского района.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          5.  Оценка эффективности  программы, рисков ее реализации.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высокая инфляция влияющая на стоимость работ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                        ПЕРЕЧЕНЬ ПРОГРАМНЫХ МЕРОПРИЯТИЙ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Проведение паспортизации и инвентаризации автомобильных дорог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Размещение дорожных знаков и указателей на улицах населённых пунктов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Реконструкция,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ремонт,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устройство твёрдого покрытия на улицах населённых пунктов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0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Организация мест автомобильных стоянок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Организация и обустройство пешеходных переходов.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Разработка организации дорожного движения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40077">
        <w:rPr>
          <w:rFonts w:ascii="Times New Roman" w:hAnsi="Times New Roman" w:cs="Times New Roman"/>
          <w:sz w:val="28"/>
          <w:szCs w:val="28"/>
        </w:rPr>
        <w:t>Строительство новой улично-дорожной сети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40077">
        <w:rPr>
          <w:rFonts w:ascii="Times New Roman" w:hAnsi="Times New Roman" w:cs="Times New Roman"/>
          <w:sz w:val="28"/>
          <w:szCs w:val="28"/>
        </w:rPr>
        <w:t>Освещение дорог, перекрёстков, остановок.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организации системы пешеходного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(на переспективу)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 «Повышение безопасности дорожного движения 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Кувайский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сельсовет Новосергиевского района Оренбургской области »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0"/>
        <w:gridCol w:w="6000"/>
      </w:tblGrid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безопасных условий движения на дорогах и улично-дорожной сети 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Кувайский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по  повышения безопасности дорожного движения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Кувайский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2016-2018 год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средства местного бюджета </w:t>
            </w:r>
          </w:p>
        </w:tc>
      </w:tr>
      <w:tr w:rsidR="00061534" w:rsidRPr="00471CD2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534" w:rsidRPr="00B40077" w:rsidRDefault="00061534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 Обеспечение бесперебойного, круглогодичного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061534" w:rsidRDefault="00061534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34" w:rsidRDefault="00061534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Характеристика  проблемы, на решение которой направлена муниципальная подпрограмма «Повышение безопасности дорожного движения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на 2016-2018 год»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        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рамках реализации подпрограммы  будут установл</w:t>
      </w:r>
      <w:r>
        <w:rPr>
          <w:rFonts w:ascii="Times New Roman" w:hAnsi="Times New Roman" w:cs="Times New Roman"/>
          <w:sz w:val="28"/>
          <w:szCs w:val="28"/>
        </w:rPr>
        <w:t>ены дорожные знаки</w:t>
      </w:r>
      <w:r w:rsidRPr="00B40077">
        <w:rPr>
          <w:rFonts w:ascii="Times New Roman" w:hAnsi="Times New Roman" w:cs="Times New Roman"/>
          <w:sz w:val="28"/>
          <w:szCs w:val="28"/>
        </w:rPr>
        <w:t>, замена уличного освещения на более экономные свето-диодные фонари на аварийно-опасных участках и в местах концентрации дорожно-транспортных происшествий.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Основными факторами, обуславливающими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аварийности на дорогах</w:t>
      </w:r>
      <w:r w:rsidRPr="00B40077">
        <w:rPr>
          <w:rFonts w:ascii="Times New Roman" w:hAnsi="Times New Roman" w:cs="Times New Roman"/>
          <w:sz w:val="28"/>
          <w:szCs w:val="28"/>
        </w:rPr>
        <w:t>, являются: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массовое несоблюдение требований Правил дорожного движения со стороны его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участников;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недостаточная профессиональная подготовка и недисциплинированность водителей;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недостаточное понимание и поддержка мер по обеспечению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движения со стороны населения.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участникам дорожного движения.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и контроль осуществляет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 сельсовет</w:t>
      </w:r>
      <w:r w:rsidRPr="00B40077">
        <w:rPr>
          <w:rFonts w:ascii="Times New Roman" w:hAnsi="Times New Roman" w:cs="Times New Roman"/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 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подпрограммы, рисков ее реализации.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</w:t>
      </w:r>
      <w:r>
        <w:rPr>
          <w:rFonts w:ascii="Times New Roman" w:hAnsi="Times New Roman" w:cs="Times New Roman"/>
          <w:sz w:val="28"/>
          <w:szCs w:val="28"/>
        </w:rPr>
        <w:t xml:space="preserve">остижения приоритетов и целей </w:t>
      </w:r>
      <w:r w:rsidRPr="00B40077">
        <w:rPr>
          <w:rFonts w:ascii="Times New Roman" w:hAnsi="Times New Roman" w:cs="Times New Roman"/>
          <w:sz w:val="28"/>
          <w:szCs w:val="28"/>
        </w:rPr>
        <w:t>в сфере развития транспортной системы.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077">
        <w:rPr>
          <w:rFonts w:ascii="Times New Roman" w:hAnsi="Times New Roman" w:cs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40077">
        <w:rPr>
          <w:rFonts w:ascii="Times New Roman" w:hAnsi="Times New Roman" w:cs="Times New Roman"/>
          <w:sz w:val="28"/>
          <w:szCs w:val="28"/>
        </w:rPr>
        <w:t>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возможность реализации 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 и социально важных </w:t>
      </w:r>
      <w:r w:rsidRPr="00B40077">
        <w:rPr>
          <w:rFonts w:ascii="Times New Roman" w:hAnsi="Times New Roman" w:cs="Times New Roman"/>
          <w:sz w:val="28"/>
          <w:szCs w:val="28"/>
        </w:rPr>
        <w:t>проектов и видов деятельности;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использование принципа гибкости ресурсного обеспечения при планировании мероприятий и проектов;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Подрограммы, расширение прав и исполнителей Подпрограммы;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F83619" w:rsidRDefault="00061534" w:rsidP="00F83619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61534" w:rsidRPr="00F83619" w:rsidRDefault="00061534" w:rsidP="00F83619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 сельсовет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11,3 </w:t>
      </w:r>
      <w:r w:rsidRPr="00B40077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 Дороги</w:t>
      </w:r>
      <w:r w:rsidRPr="00B40077">
        <w:rPr>
          <w:rFonts w:ascii="Times New Roman" w:hAnsi="Times New Roman" w:cs="Times New Roman"/>
          <w:sz w:val="28"/>
          <w:szCs w:val="28"/>
        </w:rPr>
        <w:t xml:space="preserve"> 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 гравийным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 сельсовет</w:t>
      </w:r>
      <w:r w:rsidRPr="00B40077">
        <w:rPr>
          <w:rFonts w:ascii="Times New Roman" w:hAnsi="Times New Roman" w:cs="Times New Roman"/>
          <w:sz w:val="28"/>
          <w:szCs w:val="28"/>
        </w:rPr>
        <w:t>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имеют ряд особенностей, а именно: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представляют собой сооружения, содержание которых требует больших финансовых затрат;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В функции администрации входят: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создание необходимой нормативно-правовой базы,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 и 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- контроль за исполнением работ.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от реализации Подпрограммы, риски ее реализации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внутрипоселковых дорог за счет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061534" w:rsidRPr="00B40077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061534" w:rsidRPr="00F83619" w:rsidRDefault="00061534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61534" w:rsidRPr="00F83619" w:rsidRDefault="00061534" w:rsidP="00B40077">
      <w:pPr>
        <w:pStyle w:val="NoSpacing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В</w:t>
      </w:r>
    </w:p>
    <w:sectPr w:rsidR="00061534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61534"/>
    <w:rsid w:val="00062411"/>
    <w:rsid w:val="00082EFD"/>
    <w:rsid w:val="000934CD"/>
    <w:rsid w:val="000B1535"/>
    <w:rsid w:val="0017201C"/>
    <w:rsid w:val="00182763"/>
    <w:rsid w:val="001B1CEE"/>
    <w:rsid w:val="001B3BA4"/>
    <w:rsid w:val="001E1738"/>
    <w:rsid w:val="00216EB3"/>
    <w:rsid w:val="00267D6E"/>
    <w:rsid w:val="00291AF9"/>
    <w:rsid w:val="002C1ED3"/>
    <w:rsid w:val="00344D35"/>
    <w:rsid w:val="00377F66"/>
    <w:rsid w:val="003E1E71"/>
    <w:rsid w:val="003F7084"/>
    <w:rsid w:val="00404CA8"/>
    <w:rsid w:val="00471CD2"/>
    <w:rsid w:val="00476488"/>
    <w:rsid w:val="004C1F92"/>
    <w:rsid w:val="005168D9"/>
    <w:rsid w:val="00516E27"/>
    <w:rsid w:val="00520134"/>
    <w:rsid w:val="005B2127"/>
    <w:rsid w:val="005B5F21"/>
    <w:rsid w:val="006102BF"/>
    <w:rsid w:val="0078704B"/>
    <w:rsid w:val="007A44D6"/>
    <w:rsid w:val="007A71C9"/>
    <w:rsid w:val="00875DAA"/>
    <w:rsid w:val="00902289"/>
    <w:rsid w:val="0097663F"/>
    <w:rsid w:val="00985A09"/>
    <w:rsid w:val="009F1138"/>
    <w:rsid w:val="00A05699"/>
    <w:rsid w:val="00A25E68"/>
    <w:rsid w:val="00AD3473"/>
    <w:rsid w:val="00B173D0"/>
    <w:rsid w:val="00B40077"/>
    <w:rsid w:val="00B52553"/>
    <w:rsid w:val="00B74105"/>
    <w:rsid w:val="00B851EA"/>
    <w:rsid w:val="00BA5A8A"/>
    <w:rsid w:val="00BB2B77"/>
    <w:rsid w:val="00BD6DB1"/>
    <w:rsid w:val="00BE6619"/>
    <w:rsid w:val="00C05AAD"/>
    <w:rsid w:val="00C323F1"/>
    <w:rsid w:val="00C95766"/>
    <w:rsid w:val="00D000B0"/>
    <w:rsid w:val="00E057B7"/>
    <w:rsid w:val="00E253C0"/>
    <w:rsid w:val="00E4045A"/>
    <w:rsid w:val="00E82185"/>
    <w:rsid w:val="00EE0126"/>
    <w:rsid w:val="00F45E81"/>
    <w:rsid w:val="00F83619"/>
    <w:rsid w:val="00FB3855"/>
    <w:rsid w:val="00FC15D2"/>
    <w:rsid w:val="00FD3B6E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85A09"/>
    <w:rPr>
      <w:color w:val="auto"/>
      <w:u w:val="single"/>
    </w:rPr>
  </w:style>
  <w:style w:type="paragraph" w:styleId="NormalWeb">
    <w:name w:val="Normal (Web)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A09"/>
    <w:rPr>
      <w:b/>
      <w:bCs/>
    </w:rPr>
  </w:style>
  <w:style w:type="paragraph" w:customStyle="1" w:styleId="21">
    <w:name w:val="21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985A09"/>
  </w:style>
  <w:style w:type="character" w:customStyle="1" w:styleId="txterrbg1">
    <w:name w:val="txterrbg1"/>
    <w:basedOn w:val="DefaultParagraphFont"/>
    <w:uiPriority w:val="99"/>
    <w:rsid w:val="00985A09"/>
    <w:rPr>
      <w:shd w:val="clear" w:color="auto" w:fill="auto"/>
    </w:rPr>
  </w:style>
  <w:style w:type="character" w:customStyle="1" w:styleId="key1">
    <w:name w:val="key1"/>
    <w:basedOn w:val="DefaultParagraphFont"/>
    <w:uiPriority w:val="99"/>
    <w:rsid w:val="00985A09"/>
  </w:style>
  <w:style w:type="character" w:customStyle="1" w:styleId="presskey1">
    <w:name w:val="presskey1"/>
    <w:basedOn w:val="DefaultParagraphFont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NoSpacing0">
    <w:name w:val="No Spacing"/>
    <w:uiPriority w:val="99"/>
    <w:qFormat/>
    <w:rsid w:val="001B1CEE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046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0473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12</Pages>
  <Words>3597</Words>
  <Characters>20509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Пользователь</cp:lastModifiedBy>
  <cp:revision>3</cp:revision>
  <cp:lastPrinted>2016-08-30T11:12:00Z</cp:lastPrinted>
  <dcterms:created xsi:type="dcterms:W3CDTF">2016-08-30T10:52:00Z</dcterms:created>
  <dcterms:modified xsi:type="dcterms:W3CDTF">2016-08-30T11:12:00Z</dcterms:modified>
</cp:coreProperties>
</file>